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.3.2023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bookmarkStart w:id="0" w:name="__DdeLink__1544_4291316178"/>
      <w:r>
        <w:rPr>
          <w:rFonts w:cs="Calibri" w:ascii="Calibri" w:hAnsi="Calibri"/>
          <w:color w:val="000000"/>
          <w:sz w:val="26"/>
          <w:szCs w:val="26"/>
        </w:rPr>
        <w:t xml:space="preserve">Secondo e ultimo appuntamento con il ciclo “Prospettiva Iran” </w:t>
      </w:r>
      <w:r>
        <w:rPr>
          <w:rFonts w:cs="Calibri" w:ascii="Calibri" w:hAnsi="Calibri"/>
          <w:color w:val="000000"/>
          <w:sz w:val="26"/>
          <w:szCs w:val="26"/>
        </w:rPr>
        <w:t xml:space="preserve">per la stagione </w:t>
      </w:r>
      <w:r>
        <w:rPr>
          <w:rFonts w:cs="Calibri" w:ascii="Calibri" w:hAnsi="Calibri"/>
          <w:color w:val="000000"/>
          <w:sz w:val="26"/>
          <w:szCs w:val="26"/>
        </w:rPr>
        <w:t xml:space="preserve">Cinema Palazzo Vecchio </w:t>
      </w:r>
      <w:r>
        <w:rPr>
          <w:rFonts w:cs="Calibri" w:ascii="Calibri" w:hAnsi="Calibri"/>
          <w:color w:val="000000"/>
          <w:sz w:val="26"/>
          <w:szCs w:val="26"/>
        </w:rPr>
        <w:t>di</w:t>
      </w:r>
      <w:r>
        <w:rPr>
          <w:rFonts w:cs="Calibri" w:ascii="Calibri" w:hAnsi="Calibri"/>
          <w:color w:val="000000"/>
          <w:sz w:val="26"/>
          <w:szCs w:val="26"/>
        </w:rPr>
        <w:t xml:space="preserve"> Bagnacavallo: </w:t>
      </w:r>
      <w:r>
        <w:rPr>
          <w:rFonts w:cs="Calibri" w:ascii="Calibri" w:hAnsi="Calibri"/>
          <w:color w:val="000000"/>
          <w:sz w:val="26"/>
          <w:szCs w:val="26"/>
        </w:rPr>
        <w:t>martedì 28 e mercoledì 29 marzo alle 21 verrà proiettato il  film “Il male non esiste” di Mohammad Rasoulof.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6"/>
          <w:szCs w:val="26"/>
        </w:rPr>
      </w:pPr>
      <w:r>
        <w:rPr/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</w:rPr>
        <w:t>Orso d’</w:t>
      </w:r>
      <w:r>
        <w:rPr>
          <w:rFonts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</w:rPr>
        <w:t>o</w:t>
      </w:r>
      <w:r>
        <w:rPr>
          <w:rFonts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</w:rPr>
        <w:t xml:space="preserve">ro alla 70esima edizione della Berlinale e definito da Jeremy Irons, l’allora presidente di giuria, il film che tutti dovrebbero vedere, </w:t>
      </w:r>
      <w:r>
        <w:rPr>
          <w:rFonts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</w:rPr>
        <w:t>“Il male non esiste” comprende q</w:t>
      </w:r>
      <w:r>
        <w:rPr>
          <w:rFonts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</w:rPr>
        <w:t xml:space="preserve">uattro storie per riflettere sulla possibilità di esprimere la libertà individuale in un regime dispotico. 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</w:rPr>
        <w:t>«</w:t>
      </w:r>
      <w:r>
        <w:rPr>
          <w:rFonts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</w:rPr>
        <w:t>Vedere un film di un regista come Rasoulof, arrestato ma rilasciato di recente in attesa di processo come Jafar Panahi</w:t>
      </w:r>
      <w:r>
        <w:rPr>
          <w:rFonts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</w:rPr>
        <w:t>n – sottolineano dal Cinecircolo Fuoriquadro, gestore della stagione di cinema per il Comune –</w:t>
      </w:r>
      <w:r>
        <w:rPr>
          <w:rFonts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</w:rPr>
        <w:t xml:space="preserve"> è un atto dovuto nei confronti di chi lotta contro le ingiustizie e rischia costantemente la vita per realizzare film.</w:t>
      </w:r>
      <w:r>
        <w:rPr>
          <w:rFonts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</w:rPr>
        <w:t>»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color w:val="050505"/>
          <w:sz w:val="26"/>
          <w:szCs w:val="26"/>
        </w:rPr>
        <w:t xml:space="preserve">Biglietti: 7 euro (intero) e 5 euro (ridotto under 14, over 60, studenti universitari, libreria Alfabeta). 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6"/>
          <w:szCs w:val="26"/>
        </w:rPr>
      </w:pPr>
      <w:r>
        <w:rPr>
          <w:rFonts w:cs="Calibri" w:ascii="Calibri" w:hAnsi="Calibri"/>
          <w:color w:val="050505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color w:val="050505"/>
          <w:sz w:val="26"/>
          <w:szCs w:val="26"/>
        </w:rPr>
        <w:t>La sala di Palazzo Vecchio è in piazza della Libertà 5.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6"/>
          <w:szCs w:val="26"/>
        </w:rPr>
      </w:pPr>
      <w:r>
        <w:rPr>
          <w:rFonts w:cs="Calibri" w:ascii="Calibri" w:hAnsi="Calibri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6"/>
          <w:szCs w:val="26"/>
        </w:rPr>
        <w:t>Informazioni: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6"/>
          <w:szCs w:val="26"/>
        </w:rPr>
        <w:t>320 8381863 – 333 7866395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6"/>
          <w:szCs w:val="26"/>
        </w:rPr>
        <w:t>cinemabagnacavallo@gmail.com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6"/>
          <w:szCs w:val="26"/>
        </w:rPr>
        <w:t>http://cinemabagnacavallo.blogspot.it</w:t>
      </w:r>
    </w:p>
    <w:p>
      <w:pPr>
        <w:pStyle w:val="Normal"/>
        <w:ind w:firstLine="113"/>
        <w:jc w:val="both"/>
        <w:rPr>
          <w:sz w:val="25"/>
          <w:szCs w:val="25"/>
        </w:rPr>
      </w:pPr>
      <w:bookmarkStart w:id="1" w:name="__DdeLink__1544_4291316178"/>
      <w:bookmarkStart w:id="2" w:name="__DdeLink__1050_3014662088"/>
      <w:bookmarkStart w:id="3" w:name="__DdeLink__5870_2921363581"/>
      <w:bookmarkStart w:id="4" w:name="__DdeLink__1116_3014662088"/>
      <w:bookmarkStart w:id="5" w:name="__DdeLink__837_139636917"/>
      <w:bookmarkEnd w:id="2"/>
      <w:bookmarkEnd w:id="3"/>
      <w:bookmarkEnd w:id="4"/>
      <w:bookmarkEnd w:id="5"/>
      <w:bookmarkEnd w:id="1"/>
      <w:r>
        <w:rPr>
          <w:rFonts w:cs="Calibri" w:ascii="Calibri" w:hAnsi="Calibri"/>
          <w:color w:val="050505"/>
          <w:sz w:val="26"/>
          <w:szCs w:val="26"/>
        </w:rPr>
        <w:t>Fb e Instagram: cinema palazzo vecchio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bookmarkStart w:id="6" w:name="__DdeLink__645_13947859191"/>
      <w:bookmarkStart w:id="7" w:name="__DdeLink__597_32992387381"/>
      <w:bookmarkStart w:id="8" w:name="__DdeLink__645_13947859191"/>
      <w:bookmarkStart w:id="9" w:name="__DdeLink__597_32992387381"/>
      <w:bookmarkEnd w:id="8"/>
      <w:bookmarkEnd w:id="9"/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bookmarkStart w:id="10" w:name="__DdeLink__551_25923117751"/>
      <w:bookmarkStart w:id="11" w:name="__DdeLink__551_25923117751"/>
      <w:bookmarkEnd w:id="11"/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6"/>
          <w:szCs w:val="26"/>
        </w:rPr>
        <w:t>(1</w:t>
      </w:r>
      <w:r>
        <w:rPr>
          <w:rFonts w:ascii="Calibri" w:hAnsi="Calibri"/>
          <w:i/>
          <w:iCs/>
          <w:sz w:val="26"/>
          <w:szCs w:val="26"/>
        </w:rPr>
        <w:t>23</w:t>
      </w:r>
      <w:r>
        <w:rPr>
          <w:rFonts w:ascii="Calibri" w:hAnsi="Calibri"/>
          <w:i/>
          <w:iCs/>
          <w:sz w:val="26"/>
          <w:szCs w:val="26"/>
        </w:rPr>
        <w:t>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1775" cy="66357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200" cy="66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15pt;height:52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7690" cy="64833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7080" cy="64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6pt;height:50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8325" cy="648970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7800" cy="648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4.65pt;height:51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Collabora_Office/5.3.10.47$Windows_x86 LibreOffice_project/64211812ee5c3454c64c34ed2295b8015635b057</Application>
  <Pages>1</Pages>
  <Words>202</Words>
  <Characters>1208</Characters>
  <CharactersWithSpaces>1401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2023-03-27T14:28:55Z</dcterms:modified>
  <cp:revision>49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