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</w:t>
      </w:r>
      <w:r>
        <w:rPr>
          <w:rFonts w:cs="Calibri" w:ascii="Calibri" w:hAnsi="Calibri"/>
          <w:b/>
          <w:sz w:val="30"/>
          <w:szCs w:val="30"/>
        </w:rPr>
        <w:t>.6.2023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5109_3099823363"/>
      <w:bookmarkEnd w:id="0"/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Nell’ambito della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campagna di sensibilizzazione per la lotta alle zanzare, l’Unione dei Comuni della Bassa Romagna e il Comune di Bagnacavallo hanno previsto la distribuzione gratuita del prodotto antilarvale da impiegare nelle caditoie di raccolta delle acque piovane in aree private.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Arial" w:ascii="Calibri" w:hAnsi="Calibri"/>
          <w:b w:val="false"/>
          <w:bCs w:val="false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Oltre al già programmato banchetto di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sabato 24 giugno sotto il loggiato del municipio di Bagnacavallo, dalle 9 alle 12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a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cura della ditta Sireb,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la distribuzione del prodotto antilarvale è stata organizzata in tutte le frazioni del comune, fino a esaurimento scorte.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Arial" w:ascii="Calibri" w:hAnsi="Calibri"/>
          <w:b w:val="false"/>
          <w:bCs w:val="false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Queste i luoghi, le date e gli orari per la distribuzione: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Boncellino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da mercoledì 21 giugno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tutti i giorni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dalle 19.30 alle 22 presso il Bar Circolo Acli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Glorie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sabato 24 giugno dalle 10.30 alle 11.30 presso il Centro Civico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Masiera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giovedì 22 giugno dalle 10 alle 11.30 presso il Centro Civico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Traversara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 xml:space="preserve">da mercoledì 21 giugno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tutti i giorni dalle 18.30 alle 19.30 presso il Centro Civico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Villa Prati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venerdì 23 giugno dalle 18 alle 20 presso il Centro Civico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  <w:t>Rossetta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highlight w:val="white"/>
        </w:rPr>
        <w:t>giovedì 29 e venerdì 30 giugno dalle 18 alle 20 davanti al Mataluna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Arial" w:ascii="Calibri" w:hAnsi="Calibri"/>
          <w:b w:val="false"/>
          <w:bCs w:val="false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Style w:val="Nessuno"/>
          <w:rFonts w:cs="Arial" w:ascii="Calibri" w:hAnsi="Calibri"/>
          <w:b w:val="false"/>
          <w:bCs w:val="false"/>
          <w:i w:val="false"/>
          <w:iCs w:val="false"/>
          <w:sz w:val="26"/>
          <w:szCs w:val="26"/>
          <w:highlight w:val="white"/>
        </w:rPr>
        <w:t>Nella frazione di Villanova il prodotto è già stato distribuito il 16 giugno.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Arial" w:ascii="Calibri" w:hAnsi="Calibri"/>
          <w:b w:val="false"/>
          <w:bCs w:val="false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i/>
          <w:iCs/>
          <w:sz w:val="26"/>
          <w:szCs w:val="26"/>
          <w:shd w:fill="FFFFFF" w:val="clear"/>
        </w:rPr>
        <w:t xml:space="preserve">Si ricorda che il prodotto antilarvale distribuito lo scorso anno è ancora efficace, la validità è infatti di tre anni. Pertanto chi ne fosse già provvisto lo può utilizzare con le stesse modalità dello scorso anno, senza ritirare una nuova confezione. 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sz w:val="26"/>
          <w:szCs w:val="26"/>
          <w:highlight w:val="white"/>
        </w:rPr>
      </w:pPr>
      <w:r>
        <w:rPr>
          <w:rFonts w:cs="Arial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Per maggiori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0545 280888 (Urp del Comune di Bagnacavallo)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www.labassaromagna.it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www.comune.bagnacavallo.ra.it</w:t>
      </w:r>
    </w:p>
    <w:p>
      <w:pPr>
        <w:pStyle w:val="Normal"/>
        <w:jc w:val="both"/>
        <w:rPr>
          <w:rFonts w:ascii="Calibri" w:hAnsi="Calibri" w:cs="Arial"/>
          <w:sz w:val="26"/>
          <w:szCs w:val="26"/>
        </w:rPr>
      </w:pPr>
      <w:r>
        <w:rPr>
          <w:rFonts w:cs="Arial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</w:rPr>
      </w:pPr>
      <w:bookmarkStart w:id="1" w:name="__DdeLink__5109_30998233631"/>
      <w:bookmarkStart w:id="2" w:name="__DdeLink__5109_30998233631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cs="Calibri" w:ascii="Calibri" w:hAnsi="Calibri"/>
          <w:i/>
          <w:iCs/>
          <w:sz w:val="26"/>
          <w:szCs w:val="26"/>
        </w:rPr>
        <w:t>31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710" cy="6515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96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5625" cy="6362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840" cy="63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65pt;height:50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5625" cy="63627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840" cy="63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65pt;height:50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Collabora_Office/5.3.10.47$Windows_x86 LibreOffice_project/64211812ee5c3454c64c34ed2295b8015635b057</Application>
  <Pages>1</Pages>
  <Words>283</Words>
  <Characters>1538</Characters>
  <CharactersWithSpaces>1797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2023-06-20T13:17:39Z</dcterms:modified>
  <cp:revision>5</cp:revision>
  <dc:subject/>
  <dc:title>Comunicato stampa</dc:title>
</cp:coreProperties>
</file>