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7</w:t>
      </w:r>
      <w:r>
        <w:rPr>
          <w:rFonts w:cs="Calibri" w:ascii="Calibri" w:hAnsi="Calibri"/>
          <w:b/>
          <w:sz w:val="30"/>
          <w:szCs w:val="30"/>
        </w:rPr>
        <w:t>.8.2023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Prosegue</w:t>
      </w:r>
      <w:r>
        <w:rPr>
          <w:rFonts w:ascii="Calibri" w:hAnsi="Calibri"/>
          <w:sz w:val="26"/>
          <w:szCs w:val="26"/>
        </w:rPr>
        <w:t xml:space="preserve"> nel chiostro dell’ex convento di San Francesco </w:t>
      </w:r>
      <w:r>
        <w:rPr>
          <w:rFonts w:ascii="Calibri" w:hAnsi="Calibri"/>
          <w:sz w:val="26"/>
          <w:szCs w:val="26"/>
        </w:rPr>
        <w:t>i</w:t>
      </w:r>
      <w:r>
        <w:rPr>
          <w:rFonts w:ascii="Calibri" w:hAnsi="Calibri"/>
          <w:sz w:val="26"/>
          <w:szCs w:val="26"/>
        </w:rPr>
        <w:t>l Bagnacavallo Festival.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Times New Roman"/>
          <w:b w:val="false"/>
          <w:b w:val="false"/>
          <w:bCs w:val="false"/>
          <w:sz w:val="26"/>
          <w:szCs w:val="26"/>
        </w:rPr>
      </w:pPr>
      <w:bookmarkStart w:id="0" w:name="__DdeLink__28784_1481391342"/>
      <w:bookmarkStart w:id="1" w:name="__DdeLink__28784_1481391342"/>
      <w:bookmarkEnd w:id="1"/>
      <w:r>
        <w:rPr>
          <w:rFonts w:cs="Times New Roman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Times New Roman" w:ascii="Calibri" w:hAnsi="Calibri"/>
          <w:b w:val="false"/>
          <w:bCs w:val="false"/>
          <w:sz w:val="26"/>
          <w:szCs w:val="26"/>
        </w:rPr>
        <w:t>M</w:t>
      </w:r>
      <w:r>
        <w:rPr>
          <w:rFonts w:cs="Times New Roman" w:ascii="Calibri" w:hAnsi="Calibri"/>
          <w:b w:val="false"/>
          <w:bCs w:val="false"/>
          <w:sz w:val="26"/>
          <w:szCs w:val="26"/>
        </w:rPr>
        <w:t xml:space="preserve">artedì 8 agosto </w:t>
      </w:r>
      <w:r>
        <w:rPr>
          <w:rFonts w:cs="Times New Roman" w:ascii="Calibri" w:hAnsi="Calibri"/>
          <w:b w:val="false"/>
          <w:bCs w:val="false"/>
          <w:sz w:val="26"/>
          <w:szCs w:val="26"/>
        </w:rPr>
        <w:t>è in programma</w:t>
      </w:r>
      <w:r>
        <w:rPr>
          <w:rFonts w:cs="Times New Roman" w:ascii="Calibri" w:hAnsi="Calibri"/>
          <w:b w:val="false"/>
          <w:bCs w:val="false"/>
          <w:sz w:val="26"/>
          <w:szCs w:val="26"/>
        </w:rPr>
        <w:t xml:space="preserve"> “La Pianura è un foglio bianco”, spettacolo di teatro canzone con Elisa Lolli, attrice e Marco Sforza, cantautore.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cs="Times New Roman"/>
          <w:b w:val="false"/>
          <w:b w:val="false"/>
          <w:bCs w:val="false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i/>
          <w:i/>
          <w:iCs/>
          <w:sz w:val="26"/>
          <w:szCs w:val="26"/>
        </w:rPr>
      </w:pPr>
      <w:r>
        <w:rPr>
          <w:rFonts w:cs="Times New Roman" w:ascii="Calibri" w:hAnsi="Calibri"/>
          <w:b w:val="false"/>
          <w:bCs w:val="false"/>
          <w:i/>
          <w:iCs/>
          <w:sz w:val="26"/>
          <w:szCs w:val="26"/>
        </w:rPr>
        <w:t>Come in un giro di valzer, due personaggi improbabili, un’attrice prestata al giornalismo e un cantautore melanconico, trovano il passo giusto per ballare insieme al pubblico sulla musica e le parole della loro terra, la Pianura. Attraverso domande che non trovano risposta, provocazioni, fraintendimenti, battibecchi e nostalgie, la Pianura diventa un foglio bianco su cui scrivere e cantare, cogliendo le suggestioni che di volta in volta arrivano dalla lettura di pagine più o meno conosciute di autori della Bassa Emiliana e dai testi delle canzoni originali di Marco Sforza. In un botta e risposta in cui la giornalista racconta il proprio vissuto attraverso le parole di celebri scrittori (Tondelli, Berselli, Pederiali, Zavattini, Celati, Malerba, Nori e D’Arzo) e il cantautore “controcanta” con i propri brani, il foglio bianco diventa un quadro naif, dai colori sgargianti ma intrisi di melanconia. Tra boutade, improvvisazioni, schermaglie e momenti poetici, i luoghi comuni sulla Pianura (le zanzare, il maiale, lo spiriti gioviale dei suoi abitanti) diventano un luogo comune, ovvero il punto di incontro e condivisione dei due protagonisti. E il luogo per creare un dialogo divertente e profondo con il pubblico. Perché se è vero che la patria non è il luogo in cui nasci ma quello a cui senti di appartenere, chi nasce in Emilia sa che quel tabarro grigio e ingombrante non potrà mai toglierselo di dosso. Quindi, tanto vale riderci su e godersi la propria malinconia.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cs="Times New Roman"/>
          <w:b w:val="false"/>
          <w:b w:val="false"/>
          <w:bCs w:val="false"/>
        </w:rPr>
      </w:pPr>
      <w:r>
        <w:rPr>
          <w:rFonts w:ascii="Calibri" w:hAnsi="Calibri"/>
          <w:i/>
          <w:iCs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Times New Roman" w:ascii="Calibri" w:hAnsi="Calibri"/>
          <w:b w:val="false"/>
          <w:bCs w:val="false"/>
          <w:sz w:val="26"/>
          <w:szCs w:val="26"/>
        </w:rPr>
        <w:t>Lo spettacolo sarà preceduto dalla “Forza dell’acqua”, lettura nelle “lingue dei gemelli”, in collaborazione con le associazioni Amici di Neresheim e Comunicando.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bookmarkStart w:id="2" w:name="__DdeLink__28784_14813913421"/>
      <w:bookmarkEnd w:id="2"/>
      <w:r>
        <w:rPr>
          <w:rFonts w:cs="Times New Roman" w:ascii="Calibri" w:hAnsi="Calibri"/>
          <w:b w:val="false"/>
          <w:bCs w:val="false"/>
          <w:sz w:val="26"/>
          <w:szCs w:val="26"/>
        </w:rPr>
        <w:t xml:space="preserve">Per quanto riguarda invece le </w:t>
      </w:r>
      <w:r>
        <w:rPr>
          <w:rFonts w:cs="Times New Roman" w:ascii="Calibri" w:hAnsi="Calibri"/>
          <w:b w:val="false"/>
          <w:bCs w:val="false"/>
          <w:sz w:val="26"/>
          <w:szCs w:val="26"/>
        </w:rPr>
        <w:t xml:space="preserve">“Passeggiate con racconti” in compagnia di Mario Maginot Mazzotti, </w:t>
      </w:r>
      <w:r>
        <w:rPr>
          <w:rFonts w:cs="Times New Roman" w:ascii="Calibri" w:hAnsi="Calibri"/>
          <w:b w:val="false"/>
          <w:bCs w:val="false"/>
          <w:sz w:val="26"/>
          <w:szCs w:val="26"/>
        </w:rPr>
        <w:t xml:space="preserve">proposte sempre nell’ambito del festival, sono disponibili alcuni posti soltanto per quella del 17 agosto, dedicata ai “racconti delle pietre”, cioè le lapidi cittadine.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Times New Roman" w:ascii="Calibri" w:hAnsi="Calibri"/>
          <w:b w:val="false"/>
          <w:bCs w:val="false"/>
          <w:sz w:val="26"/>
          <w:szCs w:val="26"/>
        </w:rPr>
        <w:t xml:space="preserve">Partecipazione gratuita, prenotazione obbligatoria via whatsapp al 348 6940141.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Times New Roman" w:ascii="Calibri" w:hAnsi="Calibri"/>
          <w:b w:val="false"/>
          <w:bCs w:val="false"/>
          <w:sz w:val="26"/>
          <w:szCs w:val="26"/>
        </w:rPr>
        <w:t xml:space="preserve">L’ingresso agli spettacoli è a offerta libera: </w:t>
      </w:r>
      <w:r>
        <w:rPr>
          <w:rFonts w:cs="Times New Roman" w:ascii="Calibri" w:hAnsi="Calibri"/>
          <w:b w:val="false"/>
          <w:bCs w:val="false"/>
          <w:sz w:val="26"/>
          <w:szCs w:val="26"/>
        </w:rPr>
        <w:t xml:space="preserve">è </w:t>
      </w:r>
      <w:r>
        <w:rPr>
          <w:rFonts w:cs="Times New Roman" w:ascii="Calibri" w:hAnsi="Calibri"/>
          <w:b w:val="false"/>
          <w:bCs w:val="false"/>
          <w:sz w:val="26"/>
          <w:szCs w:val="26"/>
        </w:rPr>
        <w:t xml:space="preserve">consigliata la prenotazione </w:t>
      </w:r>
      <w:r>
        <w:rPr>
          <w:rFonts w:cs="Times New Roman" w:ascii="Calibri" w:hAnsi="Calibri"/>
          <w:b w:val="false"/>
          <w:bCs w:val="false"/>
          <w:sz w:val="26"/>
          <w:szCs w:val="26"/>
        </w:rPr>
        <w:t xml:space="preserve">sempre </w:t>
      </w:r>
      <w:r>
        <w:rPr>
          <w:rFonts w:cs="Times New Roman" w:ascii="Calibri" w:hAnsi="Calibri"/>
          <w:b w:val="false"/>
          <w:bCs w:val="false"/>
          <w:sz w:val="26"/>
          <w:szCs w:val="26"/>
        </w:rPr>
        <w:t xml:space="preserve">via </w:t>
      </w:r>
      <w:r>
        <w:rPr>
          <w:rFonts w:cs="Times New Roman" w:ascii="Calibri" w:hAnsi="Calibri"/>
          <w:b w:val="false"/>
          <w:bCs w:val="false"/>
          <w:sz w:val="26"/>
          <w:szCs w:val="26"/>
        </w:rPr>
        <w:t>whatsapp.</w:t>
      </w:r>
      <w:r>
        <w:rPr>
          <w:rFonts w:cs="Times New Roman" w:ascii="Calibri" w:hAnsi="Calibri"/>
          <w:b w:val="false"/>
          <w:bCs w:val="false"/>
          <w:sz w:val="26"/>
          <w:szCs w:val="26"/>
        </w:rPr>
        <w:t xml:space="preserve"> </w:t>
      </w:r>
    </w:p>
    <w:p>
      <w:pPr>
        <w:pStyle w:val="Normal"/>
        <w:ind w:firstLine="113"/>
        <w:jc w:val="both"/>
        <w:rPr>
          <w:rFonts w:cs="Times New Roman"/>
          <w:b w:val="false"/>
          <w:b w:val="false"/>
          <w:bCs w:val="false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Times New Roman" w:ascii="Calibri" w:hAnsi="Calibri"/>
          <w:b w:val="false"/>
          <w:bCs w:val="false"/>
          <w:sz w:val="26"/>
          <w:szCs w:val="26"/>
        </w:rPr>
        <w:t>La rassegna è ideata e organizzata dall’associazione culturale Controsenso con il contributo e la collaborazione del Comune e il patrocinio della Regione. Associazioni partner: Amici di Neresheim, Comunicando, Doremi, Auser, Avis, Bagnacavallo fa Centro, Centro sociale Abbondanza, Circolo Arci Casablanca, Collegium Musicum Classense, Officina e Pro Loco.</w:t>
      </w:r>
    </w:p>
    <w:p>
      <w:pPr>
        <w:pStyle w:val="Corpodeltesto"/>
        <w:tabs>
          <w:tab w:val="left" w:pos="4485" w:leader="none"/>
        </w:tabs>
        <w:ind w:firstLine="113"/>
        <w:rPr>
          <w:rFonts w:ascii="Calibri" w:hAnsi="Calibri" w:cs="Times New Roman"/>
          <w:b w:val="false"/>
          <w:b w:val="false"/>
          <w:bCs w:val="false"/>
          <w:sz w:val="26"/>
          <w:szCs w:val="26"/>
        </w:rPr>
      </w:pPr>
      <w:r>
        <w:rPr>
          <w:rFonts w:cs="Times New Roman" w:ascii="Calibri" w:hAnsi="Calibri"/>
          <w:b w:val="false"/>
          <w:b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Times New Roman" w:ascii="Calibri" w:hAnsi="Calibri"/>
          <w:b w:val="false"/>
          <w:bCs w:val="false"/>
          <w:sz w:val="26"/>
          <w:szCs w:val="26"/>
        </w:rPr>
        <w:t>L’ex convento di San Francesco è in via Cadorna 14.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Times New Roman"/>
          <w:sz w:val="26"/>
          <w:szCs w:val="26"/>
        </w:rPr>
      </w:pPr>
      <w:r>
        <w:rPr>
          <w:rFonts w:cs="Times New Roman" w:ascii="Calibri" w:hAnsi="Calibri"/>
          <w:sz w:val="26"/>
          <w:szCs w:val="26"/>
        </w:rPr>
      </w:r>
    </w:p>
    <w:p>
      <w:pPr>
        <w:pStyle w:val="Corpodeltesto"/>
        <w:tabs>
          <w:tab w:val="left" w:pos="4485" w:leader="none"/>
        </w:tabs>
        <w:ind w:firstLine="113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Informazioni:</w:t>
      </w:r>
    </w:p>
    <w:p>
      <w:pPr>
        <w:pStyle w:val="Corpodeltesto"/>
        <w:tabs>
          <w:tab w:val="left" w:pos="4485" w:leader="none"/>
        </w:tabs>
        <w:ind w:firstLine="113"/>
        <w:rPr/>
      </w:pPr>
      <w:hyperlink r:id="rId2">
        <w:r>
          <w:rPr>
            <w:rStyle w:val="CollegamentoInternet"/>
            <w:rFonts w:cs="Calibri" w:ascii="Calibri" w:hAnsi="Calibri"/>
            <w:b w:val="false"/>
            <w:bCs w:val="false"/>
            <w:sz w:val="26"/>
            <w:szCs w:val="26"/>
          </w:rPr>
          <w:t>info@controsensobagnacavallo.it</w:t>
        </w:r>
      </w:hyperlink>
      <w:r>
        <w:rPr>
          <w:rFonts w:cs="Calibri" w:ascii="Calibri" w:hAnsi="Calibri"/>
          <w:b w:val="false"/>
          <w:bCs w:val="false"/>
          <w:sz w:val="26"/>
          <w:szCs w:val="26"/>
        </w:rPr>
        <w:t xml:space="preserve"> </w:t>
      </w:r>
    </w:p>
    <w:p>
      <w:pPr>
        <w:pStyle w:val="Corpodeltesto"/>
        <w:tabs>
          <w:tab w:val="left" w:pos="4485" w:leader="none"/>
        </w:tabs>
        <w:ind w:firstLine="113"/>
        <w:rPr/>
      </w:pPr>
      <w:hyperlink r:id="rId3">
        <w:r>
          <w:rPr>
            <w:rStyle w:val="CollegamentoInternet"/>
            <w:rFonts w:cs="Calibri" w:ascii="Calibri" w:hAnsi="Calibri"/>
            <w:b w:val="false"/>
            <w:bCs w:val="false"/>
            <w:sz w:val="26"/>
            <w:szCs w:val="26"/>
          </w:rPr>
          <w:t>www.bagnacavallofestival.it</w:t>
        </w:r>
      </w:hyperlink>
      <w:r>
        <w:rPr>
          <w:rFonts w:cs="Calibri" w:ascii="Calibri" w:hAnsi="Calibri"/>
          <w:b w:val="false"/>
          <w:bCs w:val="false"/>
          <w:sz w:val="26"/>
          <w:szCs w:val="26"/>
        </w:rPr>
        <w:t xml:space="preserve"> (con il programma completo)</w:t>
      </w:r>
    </w:p>
    <w:p>
      <w:pPr>
        <w:pStyle w:val="Corpodeltesto"/>
        <w:tabs>
          <w:tab w:val="left" w:pos="4485" w:leader="none"/>
        </w:tabs>
        <w:ind w:firstLine="113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333 7981563</w:t>
      </w:r>
    </w:p>
    <w:p>
      <w:pPr>
        <w:pStyle w:val="Corpodeltesto"/>
        <w:tabs>
          <w:tab w:val="left" w:pos="4485" w:leader="none"/>
        </w:tabs>
        <w:ind w:firstLine="113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Facebook Bagnacavallo festival</w:t>
      </w:r>
    </w:p>
    <w:p>
      <w:pPr>
        <w:pStyle w:val="Corpodeltesto"/>
        <w:tabs>
          <w:tab w:val="left" w:pos="4485" w:leader="none"/>
        </w:tabs>
        <w:ind w:firstLine="113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Instagram bagnacavallofest</w:t>
      </w:r>
    </w:p>
    <w:p>
      <w:pPr>
        <w:pStyle w:val="Corpodeltesto"/>
        <w:tabs>
          <w:tab w:val="left" w:pos="4485" w:leader="none"/>
        </w:tabs>
        <w:ind w:firstLine="113"/>
        <w:rPr>
          <w:rFonts w:ascii="Calibri" w:hAnsi="Calibri"/>
          <w:sz w:val="26"/>
          <w:szCs w:val="26"/>
        </w:rPr>
      </w:pPr>
      <w:bookmarkStart w:id="3" w:name="__DdeLink__169_3905084555"/>
      <w:bookmarkStart w:id="4" w:name="__DdeLink__29016_1481391342"/>
      <w:bookmarkStart w:id="5" w:name="__DdeLink__17997_1481391342"/>
      <w:bookmarkEnd w:id="3"/>
      <w:bookmarkEnd w:id="4"/>
      <w:bookmarkEnd w:id="5"/>
      <w:r>
        <w:rPr>
          <w:rFonts w:cs="Calibri" w:ascii="Calibri" w:hAnsi="Calibri"/>
          <w:b w:val="false"/>
          <w:bCs w:val="false"/>
          <w:sz w:val="26"/>
          <w:szCs w:val="26"/>
        </w:rPr>
        <w:t>YouTube Controsenso Bagnacavallo</w:t>
      </w:r>
    </w:p>
    <w:p>
      <w:pPr>
        <w:pStyle w:val="Corpodeltesto"/>
        <w:tabs>
          <w:tab w:val="left" w:pos="4485" w:leader="none"/>
        </w:tabs>
        <w:ind w:firstLine="113"/>
        <w:rPr>
          <w:rFonts w:cs="Calibri"/>
          <w:b w:val="false"/>
          <w:b w:val="false"/>
          <w:bCs w:val="false"/>
        </w:rPr>
      </w:pPr>
      <w:r>
        <w:rPr>
          <w:rFonts w:ascii="Calibri" w:hAnsi="Calibri"/>
          <w:sz w:val="26"/>
          <w:szCs w:val="26"/>
        </w:rPr>
      </w:r>
    </w:p>
    <w:p>
      <w:pPr>
        <w:pStyle w:val="Corpodeltesto"/>
        <w:tabs>
          <w:tab w:val="left" w:pos="4485" w:leader="none"/>
        </w:tabs>
        <w:ind w:firstLine="113"/>
        <w:rPr>
          <w:rFonts w:cs="Calibri"/>
          <w:b w:val="false"/>
          <w:b w:val="false"/>
          <w:bCs w:val="false"/>
        </w:rPr>
      </w:pPr>
      <w:r>
        <w:rPr>
          <w:rFonts w:ascii="Calibri" w:hAnsi="Calibri"/>
          <w:sz w:val="26"/>
          <w:szCs w:val="26"/>
        </w:rPr>
      </w:r>
    </w:p>
    <w:p>
      <w:pPr>
        <w:pStyle w:val="Corpodeltesto"/>
        <w:tabs>
          <w:tab w:val="left" w:pos="4485" w:leader="none"/>
        </w:tabs>
        <w:ind w:firstLine="113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(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288/23</w:t>
      </w:r>
      <w:r>
        <w:rPr>
          <w:rFonts w:cs="Calibri" w:ascii="Calibri" w:hAnsi="Calibri"/>
          <w:b w:val="false"/>
          <w:bCs w:val="false"/>
          <w:sz w:val="26"/>
          <w:szCs w:val="26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6380" cy="67818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5600" cy="6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3pt;height:53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auto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4345" cy="67818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840" cy="6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25pt;height:53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6605" cy="897255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99" t="-1018" r="-1099" b="-1018"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3" w:customStyle="1">
    <w:name w:val="Car. predefinito paragrafo3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Pr/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CollegamentoInternetvisitato">
    <w:name w:val="Collegamento Internet visitato"/>
    <w:rPr>
      <w:color w:val="8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21" w:customStyle="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 w:customStyle="1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 w:customStyle="1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>
    <w:name w:val="WW8Num10"/>
    <w:qFormat/>
  </w:style>
  <w:style w:type="numbering" w:styleId="WW8Num4">
    <w:name w:val="WW8Num4"/>
    <w:qFormat/>
  </w:style>
  <w:style w:type="numbering" w:styleId="WW8Num6">
    <w:name w:val="WW8Num6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controsensobagnacavallo.it" TargetMode="External"/><Relationship Id="rId3" Type="http://schemas.openxmlformats.org/officeDocument/2006/relationships/hyperlink" Target="http://www.bagnacavallofestival.it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Application>Collabora_Office/5.3.10.47$Windows_x86 LibreOffice_project/64211812ee5c3454c64c34ed2295b8015635b057</Application>
  <Pages>2</Pages>
  <Words>460</Words>
  <Characters>2734</Characters>
  <CharactersWithSpaces>3178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2020-07-21T16:05:00Z</dcterms:created>
  <dc:creator>pc-asus</dc:creator>
  <dc:description/>
  <dc:language>it-IT</dc:language>
  <cp:lastModifiedBy/>
  <cp:lastPrinted>2023-07-19T10:52:01Z</cp:lastPrinted>
  <dcterms:modified xsi:type="dcterms:W3CDTF">2023-08-05T19:08:48Z</dcterms:modified>
  <cp:revision>26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